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00" w:rsidRDefault="00483B00" w:rsidP="00CF14F5">
      <w:pPr>
        <w:pStyle w:val="Nadpis1"/>
        <w:spacing w:after="240"/>
      </w:pPr>
      <w:r>
        <w:t>Citační pravidla</w:t>
      </w:r>
      <w:bookmarkStart w:id="0" w:name="_GoBack"/>
      <w:bookmarkEnd w:id="0"/>
      <w:r>
        <w:t xml:space="preserve"> pro autory DTK</w:t>
      </w:r>
    </w:p>
    <w:p w:rsidR="002D5CB8" w:rsidRPr="002D5CB8" w:rsidRDefault="002D5CB8" w:rsidP="00586584">
      <w:r w:rsidRPr="002D5CB8">
        <w:t xml:space="preserve">Časopis </w:t>
      </w:r>
      <w:r w:rsidRPr="002D5CB8">
        <w:rPr>
          <w:rFonts w:eastAsia="ACaslonPro-Italic"/>
          <w:i/>
          <w:iCs/>
        </w:rPr>
        <w:t xml:space="preserve">Dějiny – Teorie – Kritika </w:t>
      </w:r>
      <w:r w:rsidRPr="002D5CB8">
        <w:t>je otevřen pluralitě názorů. Přijímá</w:t>
      </w:r>
      <w:r>
        <w:t xml:space="preserve"> proto </w:t>
      </w:r>
      <w:r w:rsidRPr="002D5CB8">
        <w:t>všechny tematicky se vztahující příspěvky. Rukopisy jsou anonymně posuzovány</w:t>
      </w:r>
      <w:r>
        <w:t xml:space="preserve"> </w:t>
      </w:r>
      <w:r w:rsidRPr="002D5CB8">
        <w:t>dvěma recenzenty, z jejichž hodnocení vychází redakční rada při přijímání</w:t>
      </w:r>
      <w:r>
        <w:t xml:space="preserve"> </w:t>
      </w:r>
      <w:r w:rsidRPr="002D5CB8">
        <w:t>rukopisů. S výsledky recenzního řízení je autor redakcí seznámen v</w:t>
      </w:r>
      <w:r>
        <w:t> </w:t>
      </w:r>
      <w:r w:rsidRPr="002D5CB8">
        <w:t>nejkratším</w:t>
      </w:r>
      <w:r>
        <w:t xml:space="preserve"> </w:t>
      </w:r>
      <w:r w:rsidRPr="002D5CB8">
        <w:t>možném termínu. Nevyžádané rukopisy redakce nevrací.</w:t>
      </w:r>
    </w:p>
    <w:p w:rsidR="002D5CB8" w:rsidRPr="002D5CB8" w:rsidRDefault="002D5CB8" w:rsidP="00586584">
      <w:r w:rsidRPr="002D5CB8">
        <w:t>Rukopisy jsou přijímány v textovém editoru Word. Rozsah článku včetně</w:t>
      </w:r>
      <w:r>
        <w:t xml:space="preserve"> </w:t>
      </w:r>
      <w:r w:rsidRPr="002D5CB8">
        <w:t>poznámkového aparátu by neměl přesáhnout 40 normostran, rozsah diskusního</w:t>
      </w:r>
      <w:r>
        <w:t xml:space="preserve"> </w:t>
      </w:r>
      <w:r w:rsidRPr="002D5CB8">
        <w:t>příspěvku 15 normostran a rozsah recenzí nejméně 3 normostrany. Součástí</w:t>
      </w:r>
      <w:r>
        <w:t xml:space="preserve"> </w:t>
      </w:r>
      <w:r w:rsidRPr="002D5CB8">
        <w:t>dodaného článku či diskusního příspěvku musí být patnáctiřádkový abstrakt,</w:t>
      </w:r>
      <w:r>
        <w:t xml:space="preserve"> </w:t>
      </w:r>
      <w:r w:rsidRPr="002D5CB8">
        <w:t>jehož překlad do angličtiny zajišťuje redakce. Redakce si vyhrazuje právo jazykové</w:t>
      </w:r>
      <w:r>
        <w:t xml:space="preserve"> </w:t>
      </w:r>
      <w:r w:rsidRPr="002D5CB8">
        <w:t>úpravy textů, veškeré stylistické i jiné úpravy má autor možnost posoudit</w:t>
      </w:r>
      <w:r>
        <w:t xml:space="preserve"> </w:t>
      </w:r>
      <w:r w:rsidRPr="002D5CB8">
        <w:t>při korektuře.</w:t>
      </w:r>
    </w:p>
    <w:p w:rsidR="009B3E94" w:rsidRDefault="002D5CB8" w:rsidP="00586584">
      <w:r w:rsidRPr="002D5CB8">
        <w:t>Při citacích archivního materiálu je třeba nejprve uvést název a místo archivu,</w:t>
      </w:r>
      <w:r>
        <w:t xml:space="preserve"> </w:t>
      </w:r>
      <w:r w:rsidRPr="002D5CB8">
        <w:t xml:space="preserve">název fondu a bližší určení pramene. </w:t>
      </w:r>
    </w:p>
    <w:p w:rsidR="002D5CB8" w:rsidRDefault="002D5CB8" w:rsidP="009B3E94">
      <w:pPr>
        <w:spacing w:after="120"/>
      </w:pPr>
      <w:r w:rsidRPr="002D5CB8">
        <w:t>Při citacích literatury je třeba se řídit následujícím</w:t>
      </w:r>
      <w:r>
        <w:t xml:space="preserve"> </w:t>
      </w:r>
      <w:r w:rsidRPr="002D5CB8">
        <w:t>vzorem.</w:t>
      </w:r>
    </w:p>
    <w:p w:rsidR="002D5CB8" w:rsidRPr="002D5CB8" w:rsidRDefault="002D5CB8" w:rsidP="002D5CB8">
      <w:pPr>
        <w:autoSpaceDE w:val="0"/>
        <w:autoSpaceDN w:val="0"/>
        <w:adjustRightInd w:val="0"/>
        <w:rPr>
          <w:rFonts w:eastAsia="ACaslonPro-Regular" w:cstheme="minorHAnsi"/>
          <w:sz w:val="24"/>
          <w:szCs w:val="24"/>
        </w:rPr>
      </w:pPr>
      <w:r w:rsidRPr="002D5CB8">
        <w:rPr>
          <w:rFonts w:eastAsia="ACaslonPro-Regular" w:cstheme="minorHAnsi"/>
          <w:sz w:val="24"/>
          <w:szCs w:val="24"/>
        </w:rPr>
        <w:t xml:space="preserve">JAN KŘEN, </w:t>
      </w:r>
      <w:r w:rsidRPr="002D5CB8">
        <w:rPr>
          <w:rFonts w:eastAsia="ACaslonPro-Regular" w:cstheme="minorHAnsi"/>
          <w:i/>
          <w:iCs/>
          <w:sz w:val="24"/>
          <w:szCs w:val="24"/>
        </w:rPr>
        <w:t>Konf</w:t>
      </w:r>
      <w:r w:rsidR="00586584">
        <w:rPr>
          <w:rFonts w:eastAsia="ACaslonPro-Regular" w:cstheme="minorHAnsi"/>
          <w:i/>
          <w:iCs/>
          <w:sz w:val="24"/>
          <w:szCs w:val="24"/>
        </w:rPr>
        <w:t>l</w:t>
      </w:r>
      <w:r w:rsidRPr="002D5CB8">
        <w:rPr>
          <w:rFonts w:eastAsia="ACaslonPro-Regular" w:cstheme="minorHAnsi"/>
          <w:i/>
          <w:iCs/>
          <w:sz w:val="24"/>
          <w:szCs w:val="24"/>
        </w:rPr>
        <w:t>iktní společenství Češi a Němci 1780–1918</w:t>
      </w:r>
      <w:r w:rsidRPr="002D5CB8">
        <w:rPr>
          <w:rFonts w:eastAsia="ACaslonPro-Regular" w:cstheme="minorHAnsi"/>
          <w:sz w:val="24"/>
          <w:szCs w:val="24"/>
        </w:rPr>
        <w:t>, Praha</w:t>
      </w:r>
      <w:r>
        <w:rPr>
          <w:rFonts w:eastAsia="ACaslonPro-Regular" w:cstheme="minorHAnsi"/>
          <w:sz w:val="24"/>
          <w:szCs w:val="24"/>
        </w:rPr>
        <w:t xml:space="preserve"> </w:t>
      </w:r>
      <w:r w:rsidRPr="002D5CB8">
        <w:rPr>
          <w:rFonts w:eastAsia="ACaslonPro-Regular" w:cstheme="minorHAnsi"/>
          <w:sz w:val="24"/>
          <w:szCs w:val="24"/>
        </w:rPr>
        <w:t>1990, s. 20.</w:t>
      </w:r>
    </w:p>
    <w:p w:rsidR="002D5CB8" w:rsidRPr="002D5CB8" w:rsidRDefault="002D5CB8" w:rsidP="002D5CB8">
      <w:pPr>
        <w:autoSpaceDE w:val="0"/>
        <w:autoSpaceDN w:val="0"/>
        <w:adjustRightInd w:val="0"/>
        <w:rPr>
          <w:rFonts w:eastAsia="ACaslonPro-Regular" w:cstheme="minorHAnsi"/>
          <w:sz w:val="24"/>
          <w:szCs w:val="24"/>
        </w:rPr>
      </w:pPr>
      <w:r w:rsidRPr="002D5CB8">
        <w:rPr>
          <w:rFonts w:eastAsia="ACaslonPro-Regular" w:cstheme="minorHAnsi"/>
          <w:sz w:val="24"/>
          <w:szCs w:val="24"/>
        </w:rPr>
        <w:t xml:space="preserve">NATALIE ZEMON DAVIS, </w:t>
      </w:r>
      <w:r w:rsidRPr="002D5CB8">
        <w:rPr>
          <w:rFonts w:eastAsia="ACaslonPro-Regular" w:cstheme="minorHAnsi"/>
          <w:i/>
          <w:iCs/>
          <w:sz w:val="24"/>
          <w:szCs w:val="24"/>
        </w:rPr>
        <w:t>History’s Two Bodies</w:t>
      </w:r>
      <w:r w:rsidRPr="002D5CB8">
        <w:rPr>
          <w:rFonts w:eastAsia="ACaslonPro-Regular" w:cstheme="minorHAnsi"/>
          <w:sz w:val="24"/>
          <w:szCs w:val="24"/>
        </w:rPr>
        <w:t>, American Historical</w:t>
      </w:r>
      <w:r>
        <w:rPr>
          <w:rFonts w:eastAsia="ACaslonPro-Regular" w:cstheme="minorHAnsi"/>
          <w:sz w:val="24"/>
          <w:szCs w:val="24"/>
        </w:rPr>
        <w:t xml:space="preserve"> </w:t>
      </w:r>
      <w:r w:rsidRPr="002D5CB8">
        <w:rPr>
          <w:rFonts w:eastAsia="ACaslonPro-Regular" w:cstheme="minorHAnsi"/>
          <w:sz w:val="24"/>
          <w:szCs w:val="24"/>
        </w:rPr>
        <w:t>Review 94/1989, s. 1–10.</w:t>
      </w:r>
    </w:p>
    <w:p w:rsidR="002D5CB8" w:rsidRPr="002D5CB8" w:rsidRDefault="002D5CB8" w:rsidP="002D5CB8">
      <w:pPr>
        <w:autoSpaceDE w:val="0"/>
        <w:autoSpaceDN w:val="0"/>
        <w:adjustRightInd w:val="0"/>
        <w:rPr>
          <w:rFonts w:eastAsia="ACaslonPro-Regular" w:cstheme="minorHAnsi"/>
          <w:sz w:val="24"/>
          <w:szCs w:val="24"/>
        </w:rPr>
      </w:pPr>
      <w:r w:rsidRPr="002D5CB8">
        <w:rPr>
          <w:rFonts w:eastAsia="ACaslonPro-Regular" w:cstheme="minorHAnsi"/>
          <w:i/>
          <w:iCs/>
          <w:sz w:val="24"/>
          <w:szCs w:val="24"/>
        </w:rPr>
        <w:t>Marc Bloch, Lucien Febvre et les Annales d’histoire économique et</w:t>
      </w:r>
      <w:r>
        <w:rPr>
          <w:rFonts w:eastAsia="ACaslonPro-Regular" w:cstheme="minorHAnsi"/>
          <w:i/>
          <w:iCs/>
          <w:sz w:val="24"/>
          <w:szCs w:val="24"/>
        </w:rPr>
        <w:t xml:space="preserve"> </w:t>
      </w:r>
      <w:r w:rsidRPr="002D5CB8">
        <w:rPr>
          <w:rFonts w:eastAsia="ACaslonPro-Regular" w:cstheme="minorHAnsi"/>
          <w:i/>
          <w:iCs/>
          <w:sz w:val="24"/>
          <w:szCs w:val="24"/>
        </w:rPr>
        <w:t>sociale: correspondance</w:t>
      </w:r>
      <w:r w:rsidRPr="002D5CB8">
        <w:rPr>
          <w:rFonts w:eastAsia="ACaslonPro-Regular" w:cstheme="minorHAnsi"/>
          <w:sz w:val="24"/>
          <w:szCs w:val="24"/>
        </w:rPr>
        <w:t xml:space="preserve">, díl 3: </w:t>
      </w:r>
      <w:r w:rsidRPr="002D5CB8">
        <w:rPr>
          <w:rFonts w:eastAsia="ACaslonPro-Regular" w:cstheme="minorHAnsi"/>
          <w:i/>
          <w:iCs/>
          <w:sz w:val="24"/>
          <w:szCs w:val="24"/>
        </w:rPr>
        <w:t>1938–1943, Les Annales en crises</w:t>
      </w:r>
      <w:r w:rsidRPr="002D5CB8">
        <w:rPr>
          <w:rFonts w:eastAsia="ACaslonPro-Regular" w:cstheme="minorHAnsi"/>
          <w:sz w:val="24"/>
          <w:szCs w:val="24"/>
        </w:rPr>
        <w:t>, (ed.)</w:t>
      </w:r>
      <w:r>
        <w:rPr>
          <w:rFonts w:eastAsia="ACaslonPro-Regular" w:cstheme="minorHAnsi"/>
          <w:sz w:val="24"/>
          <w:szCs w:val="24"/>
        </w:rPr>
        <w:t xml:space="preserve"> </w:t>
      </w:r>
      <w:r w:rsidRPr="002D5CB8">
        <w:rPr>
          <w:rFonts w:eastAsia="ACaslonPro-Regular" w:cstheme="minorHAnsi"/>
          <w:sz w:val="24"/>
          <w:szCs w:val="24"/>
        </w:rPr>
        <w:t>BERTRAND MÜLLER, Paris 2003.</w:t>
      </w:r>
    </w:p>
    <w:p w:rsidR="002D5CB8" w:rsidRPr="002D5CB8" w:rsidRDefault="002D5CB8" w:rsidP="002D5CB8">
      <w:pPr>
        <w:autoSpaceDE w:val="0"/>
        <w:autoSpaceDN w:val="0"/>
        <w:adjustRightInd w:val="0"/>
        <w:rPr>
          <w:rFonts w:eastAsia="ACaslonPro-Regular" w:cstheme="minorHAnsi"/>
          <w:sz w:val="24"/>
          <w:szCs w:val="24"/>
        </w:rPr>
      </w:pPr>
      <w:r w:rsidRPr="002D5CB8">
        <w:rPr>
          <w:rFonts w:eastAsia="ACaslonPro-Regular" w:cstheme="minorHAnsi"/>
          <w:i/>
          <w:iCs/>
          <w:sz w:val="24"/>
          <w:szCs w:val="24"/>
        </w:rPr>
        <w:t>La France des années noires</w:t>
      </w:r>
      <w:r w:rsidRPr="002D5CB8">
        <w:rPr>
          <w:rFonts w:eastAsia="ACaslonPro-Regular" w:cstheme="minorHAnsi"/>
          <w:sz w:val="24"/>
          <w:szCs w:val="24"/>
        </w:rPr>
        <w:t>, (edd.) JEAN-PIERRE AZÉMA, FRANÇOIS</w:t>
      </w:r>
      <w:r>
        <w:rPr>
          <w:rFonts w:eastAsia="ACaslonPro-Regular" w:cstheme="minorHAnsi"/>
          <w:sz w:val="24"/>
          <w:szCs w:val="24"/>
        </w:rPr>
        <w:t xml:space="preserve"> </w:t>
      </w:r>
      <w:r w:rsidRPr="002D5CB8">
        <w:rPr>
          <w:rFonts w:eastAsia="ACaslonPro-Regular" w:cstheme="minorHAnsi"/>
          <w:sz w:val="24"/>
          <w:szCs w:val="24"/>
        </w:rPr>
        <w:t xml:space="preserve">BÉDARIDA, Paris 1993; LUCIEN FEBVRE, </w:t>
      </w:r>
      <w:r w:rsidRPr="002D5CB8">
        <w:rPr>
          <w:rFonts w:eastAsia="ACaslonPro-Regular" w:cstheme="minorHAnsi"/>
          <w:i/>
          <w:iCs/>
          <w:sz w:val="24"/>
          <w:szCs w:val="24"/>
        </w:rPr>
        <w:t>Ni Histoire? Thése ni</w:t>
      </w:r>
      <w:r>
        <w:rPr>
          <w:rFonts w:eastAsia="ACaslonPro-Regular" w:cstheme="minorHAnsi"/>
          <w:i/>
          <w:iCs/>
          <w:sz w:val="24"/>
          <w:szCs w:val="24"/>
        </w:rPr>
        <w:t xml:space="preserve"> </w:t>
      </w:r>
      <w:r w:rsidRPr="002D5CB8">
        <w:rPr>
          <w:rFonts w:eastAsia="ACaslonPro-Regular" w:cstheme="minorHAnsi"/>
          <w:i/>
          <w:iCs/>
          <w:sz w:val="24"/>
          <w:szCs w:val="24"/>
        </w:rPr>
        <w:t>Histoire-Manuel, Entre Benda et Seignobos</w:t>
      </w:r>
      <w:r w:rsidRPr="002D5CB8">
        <w:rPr>
          <w:rFonts w:eastAsia="ACaslonPro-Regular" w:cstheme="minorHAnsi"/>
          <w:sz w:val="24"/>
          <w:szCs w:val="24"/>
        </w:rPr>
        <w:t>, in: Týž, Combats pour</w:t>
      </w:r>
      <w:r>
        <w:rPr>
          <w:rFonts w:eastAsia="ACaslonPro-Regular" w:cstheme="minorHAnsi"/>
          <w:sz w:val="24"/>
          <w:szCs w:val="24"/>
        </w:rPr>
        <w:t xml:space="preserve"> </w:t>
      </w:r>
      <w:r w:rsidRPr="002D5CB8">
        <w:rPr>
          <w:rFonts w:eastAsia="ACaslonPro-Regular" w:cstheme="minorHAnsi"/>
          <w:sz w:val="24"/>
          <w:szCs w:val="24"/>
        </w:rPr>
        <w:t>l’histoire, Paris 1953, s. 96–97.</w:t>
      </w:r>
    </w:p>
    <w:p w:rsidR="002D5CB8" w:rsidRPr="002D5CB8" w:rsidRDefault="002D5CB8" w:rsidP="002D5CB8">
      <w:pPr>
        <w:autoSpaceDE w:val="0"/>
        <w:autoSpaceDN w:val="0"/>
        <w:adjustRightInd w:val="0"/>
        <w:rPr>
          <w:rFonts w:eastAsia="ACaslonPro-Regular" w:cstheme="minorHAnsi"/>
          <w:sz w:val="24"/>
          <w:szCs w:val="24"/>
        </w:rPr>
      </w:pPr>
      <w:r w:rsidRPr="002D5CB8">
        <w:rPr>
          <w:rFonts w:eastAsia="ACaslonPro-Regular" w:cstheme="minorHAnsi"/>
          <w:sz w:val="24"/>
          <w:szCs w:val="24"/>
        </w:rPr>
        <w:t xml:space="preserve">HENRY LYON, </w:t>
      </w:r>
      <w:r w:rsidRPr="002D5CB8">
        <w:rPr>
          <w:rFonts w:eastAsia="ACaslonPro-Regular" w:cstheme="minorHAnsi"/>
          <w:i/>
          <w:iCs/>
          <w:sz w:val="24"/>
          <w:szCs w:val="24"/>
        </w:rPr>
        <w:t>Marc Bloch</w:t>
      </w:r>
      <w:r w:rsidRPr="002D5CB8">
        <w:rPr>
          <w:rFonts w:eastAsia="ACaslonPro-Regular" w:cstheme="minorHAnsi"/>
          <w:sz w:val="24"/>
          <w:szCs w:val="24"/>
        </w:rPr>
        <w:t>, in: The Annales School – Critical</w:t>
      </w:r>
      <w:r>
        <w:rPr>
          <w:rFonts w:eastAsia="ACaslonPro-Regular" w:cstheme="minorHAnsi"/>
          <w:sz w:val="24"/>
          <w:szCs w:val="24"/>
        </w:rPr>
        <w:t xml:space="preserve"> </w:t>
      </w:r>
      <w:r w:rsidRPr="002D5CB8">
        <w:rPr>
          <w:rFonts w:eastAsia="ACaslonPro-Regular" w:cstheme="minorHAnsi"/>
          <w:sz w:val="24"/>
          <w:szCs w:val="24"/>
        </w:rPr>
        <w:t>Assessments, (ed.) Stuart Clark, London-New York 1999, díl 4, s. 163.</w:t>
      </w:r>
    </w:p>
    <w:p w:rsidR="002D5CB8" w:rsidRPr="002D5CB8" w:rsidRDefault="002D5CB8" w:rsidP="002D5CB8">
      <w:pPr>
        <w:autoSpaceDE w:val="0"/>
        <w:autoSpaceDN w:val="0"/>
        <w:adjustRightInd w:val="0"/>
        <w:rPr>
          <w:rFonts w:eastAsia="ACaslonPro-Regular" w:cstheme="minorHAnsi"/>
          <w:sz w:val="24"/>
          <w:szCs w:val="24"/>
        </w:rPr>
      </w:pPr>
      <w:r w:rsidRPr="002D5CB8">
        <w:rPr>
          <w:rFonts w:eastAsia="ACaslonPro-Regular" w:cstheme="minorHAnsi"/>
          <w:sz w:val="24"/>
          <w:szCs w:val="24"/>
        </w:rPr>
        <w:t xml:space="preserve">JOHANNES FRIED, </w:t>
      </w:r>
      <w:r w:rsidRPr="002D5CB8">
        <w:rPr>
          <w:rFonts w:eastAsia="ACaslonPro-Regular" w:cstheme="minorHAnsi"/>
          <w:i/>
          <w:iCs/>
          <w:sz w:val="24"/>
          <w:szCs w:val="24"/>
        </w:rPr>
        <w:t>Erinnerung und Vergessen. Die Gegenwart stiftet die</w:t>
      </w:r>
      <w:r>
        <w:rPr>
          <w:rFonts w:eastAsia="ACaslonPro-Regular" w:cstheme="minorHAnsi"/>
          <w:i/>
          <w:iCs/>
          <w:sz w:val="24"/>
          <w:szCs w:val="24"/>
        </w:rPr>
        <w:t xml:space="preserve"> </w:t>
      </w:r>
      <w:r w:rsidRPr="002D5CB8">
        <w:rPr>
          <w:rFonts w:eastAsia="ACaslonPro-Regular" w:cstheme="minorHAnsi"/>
          <w:i/>
          <w:iCs/>
          <w:sz w:val="24"/>
          <w:szCs w:val="24"/>
        </w:rPr>
        <w:t>Einheit der Vergangenheit</w:t>
      </w:r>
      <w:r w:rsidRPr="002D5CB8">
        <w:rPr>
          <w:rFonts w:eastAsia="ACaslonPro-Regular" w:cstheme="minorHAnsi"/>
          <w:sz w:val="24"/>
          <w:szCs w:val="24"/>
        </w:rPr>
        <w:t>, Historische Zeitschrift 273/2001, s. 561–593;</w:t>
      </w:r>
    </w:p>
    <w:p w:rsidR="002D5CB8" w:rsidRPr="002D5CB8" w:rsidRDefault="002D5CB8" w:rsidP="002D5CB8">
      <w:pPr>
        <w:autoSpaceDE w:val="0"/>
        <w:autoSpaceDN w:val="0"/>
        <w:adjustRightInd w:val="0"/>
        <w:rPr>
          <w:rFonts w:eastAsia="ACaslonPro-Regular" w:cstheme="minorHAnsi"/>
          <w:i/>
          <w:iCs/>
          <w:sz w:val="24"/>
          <w:szCs w:val="24"/>
        </w:rPr>
      </w:pPr>
      <w:r w:rsidRPr="002D5CB8">
        <w:rPr>
          <w:rFonts w:eastAsia="ACaslonPro-Regular" w:cstheme="minorHAnsi"/>
          <w:sz w:val="24"/>
          <w:szCs w:val="24"/>
        </w:rPr>
        <w:t xml:space="preserve">TÝŽ, </w:t>
      </w:r>
      <w:r w:rsidRPr="002D5CB8">
        <w:rPr>
          <w:rFonts w:eastAsia="ACaslonPro-Regular" w:cstheme="minorHAnsi"/>
          <w:i/>
          <w:iCs/>
          <w:sz w:val="24"/>
          <w:szCs w:val="24"/>
        </w:rPr>
        <w:t>Geschichte und Gehirn. Irritationen der Geschichtswissenschaft</w:t>
      </w:r>
    </w:p>
    <w:p w:rsidR="002D5CB8" w:rsidRDefault="002D5CB8" w:rsidP="002D5CB8">
      <w:pPr>
        <w:autoSpaceDE w:val="0"/>
        <w:autoSpaceDN w:val="0"/>
        <w:adjustRightInd w:val="0"/>
        <w:rPr>
          <w:rFonts w:eastAsia="ACaslonPro-Regular" w:cstheme="minorHAnsi"/>
          <w:sz w:val="24"/>
          <w:szCs w:val="24"/>
        </w:rPr>
      </w:pPr>
      <w:r w:rsidRPr="002D5CB8">
        <w:rPr>
          <w:rFonts w:eastAsia="ACaslonPro-Regular" w:cstheme="minorHAnsi"/>
          <w:i/>
          <w:iCs/>
          <w:sz w:val="24"/>
          <w:szCs w:val="24"/>
        </w:rPr>
        <w:t>durch Gedächtniskritik</w:t>
      </w:r>
      <w:r w:rsidRPr="002D5CB8">
        <w:rPr>
          <w:rFonts w:eastAsia="ACaslonPro-Regular" w:cstheme="minorHAnsi"/>
          <w:sz w:val="24"/>
          <w:szCs w:val="24"/>
        </w:rPr>
        <w:t>, Stuttgart 2003.</w:t>
      </w:r>
    </w:p>
    <w:p w:rsidR="00586584" w:rsidRPr="002D5CB8" w:rsidRDefault="00586584" w:rsidP="002D5CB8">
      <w:pPr>
        <w:autoSpaceDE w:val="0"/>
        <w:autoSpaceDN w:val="0"/>
        <w:adjustRightInd w:val="0"/>
        <w:rPr>
          <w:rFonts w:eastAsia="ACaslonPro-Regular" w:cstheme="minorHAnsi"/>
          <w:sz w:val="24"/>
          <w:szCs w:val="24"/>
        </w:rPr>
      </w:pPr>
    </w:p>
    <w:p w:rsidR="002D5CB8" w:rsidRPr="002D5CB8" w:rsidRDefault="002D5CB8" w:rsidP="00586584">
      <w:r w:rsidRPr="002D5CB8">
        <w:t>Při opakování citací stačí uvést pouze iniciálu křestního jména autorů a vydavatelů</w:t>
      </w:r>
      <w:r>
        <w:t xml:space="preserve"> </w:t>
      </w:r>
      <w:r w:rsidRPr="002D5CB8">
        <w:t>a zkrácený název již výše citované knihy nebo studie.</w:t>
      </w:r>
    </w:p>
    <w:p w:rsidR="00586584" w:rsidRPr="002D5CB8" w:rsidRDefault="002D5CB8" w:rsidP="009B3E94">
      <w:pPr>
        <w:spacing w:after="120"/>
      </w:pPr>
      <w:r w:rsidRPr="002D5CB8">
        <w:t>Zkratkou pro označení strany nebo stran je s., ročníky časopisů a sborníky se</w:t>
      </w:r>
      <w:r>
        <w:t xml:space="preserve"> </w:t>
      </w:r>
      <w:r w:rsidRPr="002D5CB8">
        <w:t>uvádějí arabskými číslicemi stejně jako díly vícesvazkových zpracování a edic.</w:t>
      </w:r>
      <w:r>
        <w:t xml:space="preserve"> </w:t>
      </w:r>
      <w:r w:rsidRPr="002D5CB8">
        <w:t>Pokud jsou dokumenty v edicích číslovány, je třeba uvádět vedle stran i číslo</w:t>
      </w:r>
      <w:r>
        <w:t xml:space="preserve"> </w:t>
      </w:r>
      <w:r w:rsidRPr="002D5CB8">
        <w:t>dokumentu.</w:t>
      </w:r>
    </w:p>
    <w:p w:rsidR="002D5CB8" w:rsidRPr="002D5CB8" w:rsidRDefault="002D5CB8" w:rsidP="002D5CB8">
      <w:pPr>
        <w:autoSpaceDE w:val="0"/>
        <w:autoSpaceDN w:val="0"/>
        <w:adjustRightInd w:val="0"/>
        <w:rPr>
          <w:rFonts w:eastAsia="ACaslonPro-Regular" w:cstheme="minorHAnsi"/>
          <w:sz w:val="24"/>
          <w:szCs w:val="24"/>
        </w:rPr>
      </w:pPr>
      <w:r w:rsidRPr="002D5CB8">
        <w:rPr>
          <w:rFonts w:eastAsia="ACaslonPro-Regular" w:cstheme="minorHAnsi"/>
          <w:sz w:val="24"/>
          <w:szCs w:val="24"/>
        </w:rPr>
        <w:t xml:space="preserve">VRATISLAV DOUBEK, MARTIN KUČERA (edd.), </w:t>
      </w:r>
      <w:r w:rsidRPr="002D5CB8">
        <w:rPr>
          <w:rFonts w:eastAsia="ACaslonPro-Regular" w:cstheme="minorHAnsi"/>
          <w:i/>
          <w:iCs/>
          <w:sz w:val="24"/>
          <w:szCs w:val="24"/>
        </w:rPr>
        <w:t>Korespondence</w:t>
      </w:r>
      <w:r>
        <w:rPr>
          <w:rFonts w:eastAsia="ACaslonPro-Regular" w:cstheme="minorHAnsi"/>
          <w:i/>
          <w:iCs/>
          <w:sz w:val="24"/>
          <w:szCs w:val="24"/>
        </w:rPr>
        <w:t xml:space="preserve"> </w:t>
      </w:r>
      <w:r w:rsidRPr="002D5CB8">
        <w:rPr>
          <w:rFonts w:eastAsia="ACaslonPro-Regular" w:cstheme="minorHAnsi"/>
          <w:i/>
          <w:iCs/>
          <w:sz w:val="24"/>
          <w:szCs w:val="24"/>
        </w:rPr>
        <w:t>T. G. Masaryk – Bedřich Hlaváč</w:t>
      </w:r>
      <w:r w:rsidRPr="002D5CB8">
        <w:rPr>
          <w:rFonts w:eastAsia="ACaslonPro-Regular" w:cstheme="minorHAnsi"/>
          <w:sz w:val="24"/>
          <w:szCs w:val="24"/>
        </w:rPr>
        <w:t>, Praha 2001, T. G. Masaryk B. Hlaváčovi</w:t>
      </w:r>
      <w:r>
        <w:rPr>
          <w:rFonts w:eastAsia="ACaslonPro-Regular" w:cstheme="minorHAnsi"/>
          <w:sz w:val="24"/>
          <w:szCs w:val="24"/>
        </w:rPr>
        <w:t xml:space="preserve"> </w:t>
      </w:r>
      <w:r w:rsidRPr="002D5CB8">
        <w:rPr>
          <w:rFonts w:eastAsia="ACaslonPro-Regular" w:cstheme="minorHAnsi"/>
          <w:sz w:val="24"/>
          <w:szCs w:val="24"/>
        </w:rPr>
        <w:t>15. 2. 1899, s. 15, č. 1.</w:t>
      </w:r>
    </w:p>
    <w:p w:rsidR="00586584" w:rsidRDefault="00586584" w:rsidP="00586584"/>
    <w:p w:rsidR="00A77A17" w:rsidRPr="002D5CB8" w:rsidRDefault="002D5CB8" w:rsidP="00586584">
      <w:r w:rsidRPr="002D5CB8">
        <w:t>Žádáme případné přispěvatele, aby laskavě dodržovali způsob citací a zkracování,</w:t>
      </w:r>
      <w:r>
        <w:t xml:space="preserve"> </w:t>
      </w:r>
      <w:r w:rsidRPr="002D5CB8">
        <w:t>který musí být v celém rukopise jednotný, přičemž je třeba v úplnosti přihlédnout</w:t>
      </w:r>
      <w:r>
        <w:t xml:space="preserve"> </w:t>
      </w:r>
      <w:r w:rsidRPr="002D5CB8">
        <w:t>ke vzoru citací v příspěvcích v čísle 1/2004.</w:t>
      </w:r>
    </w:p>
    <w:sectPr w:rsidR="00A77A17" w:rsidRPr="002D5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37" w:rsidRDefault="004B6E37" w:rsidP="00B51372">
      <w:pPr>
        <w:spacing w:before="0"/>
      </w:pPr>
      <w:r>
        <w:separator/>
      </w:r>
    </w:p>
  </w:endnote>
  <w:endnote w:type="continuationSeparator" w:id="0">
    <w:p w:rsidR="004B6E37" w:rsidRDefault="004B6E37" w:rsidP="00B513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CaslonPro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Casl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72" w:rsidRDefault="00B513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72" w:rsidRDefault="00B513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72" w:rsidRDefault="00B513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37" w:rsidRDefault="004B6E37" w:rsidP="00B51372">
      <w:pPr>
        <w:spacing w:before="0"/>
      </w:pPr>
      <w:r>
        <w:separator/>
      </w:r>
    </w:p>
  </w:footnote>
  <w:footnote w:type="continuationSeparator" w:id="0">
    <w:p w:rsidR="004B6E37" w:rsidRDefault="004B6E37" w:rsidP="00B513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72" w:rsidRDefault="00B513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72" w:rsidRDefault="00B513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72" w:rsidRDefault="00B513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72"/>
    <w:rsid w:val="002D5CB8"/>
    <w:rsid w:val="00483B00"/>
    <w:rsid w:val="004B6E37"/>
    <w:rsid w:val="00586584"/>
    <w:rsid w:val="00960372"/>
    <w:rsid w:val="009B3E94"/>
    <w:rsid w:val="00A77A17"/>
    <w:rsid w:val="00B51372"/>
    <w:rsid w:val="00C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584"/>
  </w:style>
  <w:style w:type="paragraph" w:styleId="Nadpis1">
    <w:name w:val="heading 1"/>
    <w:basedOn w:val="Normln"/>
    <w:next w:val="Normln"/>
    <w:link w:val="Nadpis1Char"/>
    <w:uiPriority w:val="9"/>
    <w:qFormat/>
    <w:rsid w:val="00483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5137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B51372"/>
  </w:style>
  <w:style w:type="paragraph" w:styleId="Zpat">
    <w:name w:val="footer"/>
    <w:basedOn w:val="Normln"/>
    <w:link w:val="ZpatChar"/>
    <w:uiPriority w:val="99"/>
    <w:unhideWhenUsed/>
    <w:rsid w:val="00B5137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B5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2015-03-27T17:49:00Z</dcterms:created>
  <dcterms:modified xsi:type="dcterms:W3CDTF">2015-03-27T17:49:00Z</dcterms:modified>
</cp:coreProperties>
</file>